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6" w:rsidRDefault="00FC4D36" w:rsidP="00FC4D36">
      <w:pPr>
        <w:pStyle w:val="Standard"/>
        <w:jc w:val="both"/>
        <w:rPr>
          <w:rFonts w:eastAsia="Times New Roman" w:cs="Calibri"/>
          <w:b/>
          <w:bCs/>
          <w:lang w:eastAsia="pl-PL"/>
        </w:rPr>
      </w:pPr>
    </w:p>
    <w:p w:rsidR="00FC4D36" w:rsidRDefault="00FC4D36" w:rsidP="00FC4D36">
      <w:pPr>
        <w:pStyle w:val="Textbody"/>
        <w:spacing w:after="0"/>
        <w:ind w:left="6381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Szczecin 13.11.2020 r.</w:t>
      </w:r>
    </w:p>
    <w:p w:rsidR="00FC4D36" w:rsidRDefault="00FC4D36" w:rsidP="00FC4D36">
      <w:pPr>
        <w:pStyle w:val="Textbody"/>
        <w:spacing w:after="0"/>
        <w:jc w:val="both"/>
      </w:pPr>
    </w:p>
    <w:p w:rsidR="00FC4D36" w:rsidRDefault="00FC4D36" w:rsidP="00FC4D36">
      <w:pPr>
        <w:pStyle w:val="Textbody"/>
        <w:spacing w:after="0"/>
        <w:ind w:left="4821"/>
        <w:jc w:val="both"/>
      </w:pPr>
    </w:p>
    <w:p w:rsidR="00FC4D36" w:rsidRDefault="00FC4D36" w:rsidP="00FC4D36">
      <w:pPr>
        <w:pStyle w:val="Textbody"/>
        <w:spacing w:after="0"/>
        <w:ind w:left="4821"/>
        <w:jc w:val="both"/>
      </w:pPr>
    </w:p>
    <w:p w:rsidR="00FC4D36" w:rsidRDefault="00FC4D36" w:rsidP="00FC4D36">
      <w:pPr>
        <w:pStyle w:val="Textbody"/>
        <w:spacing w:after="0"/>
        <w:ind w:left="3540" w:firstLine="708"/>
        <w:jc w:val="both"/>
      </w:pPr>
      <w:r>
        <w:rPr>
          <w:rStyle w:val="StrongEmphasis"/>
        </w:rPr>
        <w:t xml:space="preserve">  Wykonawcy </w:t>
      </w:r>
      <w:r>
        <w:rPr>
          <w:rStyle w:val="StrongEmphasis"/>
        </w:rPr>
        <w:t>uczestniczący w postępowaniu</w:t>
      </w:r>
    </w:p>
    <w:p w:rsidR="00FC4D36" w:rsidRDefault="00FC4D36" w:rsidP="00FC4D36">
      <w:pPr>
        <w:pStyle w:val="Textbody"/>
        <w:spacing w:after="0"/>
        <w:jc w:val="both"/>
      </w:pPr>
    </w:p>
    <w:p w:rsidR="00FC4D36" w:rsidRDefault="00FC4D36" w:rsidP="00FC4D36">
      <w:pPr>
        <w:pStyle w:val="Textbody"/>
        <w:spacing w:after="0"/>
        <w:jc w:val="both"/>
      </w:pPr>
      <w:r>
        <w:rPr>
          <w:rStyle w:val="StrongEmphasis"/>
        </w:rPr>
        <w:t>Nasz znak: DO.KS.01154-10/2020</w:t>
      </w:r>
    </w:p>
    <w:p w:rsidR="00FC4D36" w:rsidRDefault="00FC4D36" w:rsidP="00FC4D36">
      <w:pPr>
        <w:pStyle w:val="Textbody"/>
        <w:spacing w:after="0"/>
        <w:jc w:val="both"/>
      </w:pPr>
    </w:p>
    <w:p w:rsidR="00FC4D36" w:rsidRDefault="00FC4D36" w:rsidP="00FC4D36">
      <w:pPr>
        <w:pStyle w:val="Nagwek2"/>
        <w:spacing w:before="0" w:after="0"/>
        <w:jc w:val="both"/>
        <w:rPr>
          <w:rFonts w:eastAsia="Lucida Sans Unicode"/>
          <w:sz w:val="24"/>
          <w:szCs w:val="24"/>
        </w:rPr>
      </w:pPr>
    </w:p>
    <w:p w:rsidR="00FC4D36" w:rsidRDefault="00FC4D36" w:rsidP="00FC4D36">
      <w:pPr>
        <w:pStyle w:val="Nagwek2"/>
        <w:spacing w:before="0" w:after="0"/>
        <w:jc w:val="both"/>
        <w:rPr>
          <w:rFonts w:eastAsia="Lucida Sans Unicode"/>
        </w:rPr>
      </w:pPr>
      <w:r>
        <w:rPr>
          <w:rFonts w:eastAsia="Lucida Sans Unicode"/>
          <w:b w:val="0"/>
          <w:sz w:val="24"/>
          <w:szCs w:val="24"/>
        </w:rPr>
        <w:t>Dotyczy: Postępowania na Usługi społeczne na podstawie art. 138o Ustawy PZP na:</w:t>
      </w:r>
      <w:r>
        <w:rPr>
          <w:rFonts w:eastAsia="Lucida Sans Unicode"/>
          <w:sz w:val="24"/>
          <w:szCs w:val="24"/>
        </w:rPr>
        <w:t xml:space="preserve"> „</w:t>
      </w:r>
      <w:r>
        <w:rPr>
          <w:rStyle w:val="StrongEmphasis"/>
          <w:rFonts w:eastAsia="Lucida Sans Unicode"/>
          <w:sz w:val="24"/>
          <w:szCs w:val="24"/>
        </w:rPr>
        <w:t>Świadczenie usług w zakresie żywienia Mieszkańców Domu Pomocy Społecznej przy ulicy Wł. Broniewskiego 4/6 w Szczecinie w roku 2021”.</w:t>
      </w:r>
    </w:p>
    <w:p w:rsidR="00FC4D36" w:rsidRDefault="00FC4D36" w:rsidP="00FC4D36">
      <w:pPr>
        <w:pStyle w:val="Textbody"/>
        <w:spacing w:after="0"/>
        <w:jc w:val="both"/>
      </w:pPr>
      <w:r>
        <w:t>Zamawiający informuje, iż w przedmiotowym postępowaniu wpłynęły pytania dotyczące treści SIWZ. Zgodnie z art. 38 ust. 2 ustawy z dnia 29 stycznia 2004 r. Prawo zamówień publicznych (t .j. Dz. U. z 2019 r., poz. 1843 ze zm.), Zamawiający przekazuje Wykonawcom treść pytań wraz z odpowiedziami.</w:t>
      </w:r>
    </w:p>
    <w:p w:rsidR="00FC4D36" w:rsidRDefault="00FC4D36" w:rsidP="00FC4D36">
      <w:pPr>
        <w:pStyle w:val="Textbody"/>
        <w:spacing w:after="0"/>
        <w:jc w:val="both"/>
      </w:pPr>
    </w:p>
    <w:p w:rsidR="00FC4D36" w:rsidRDefault="00FC4D36" w:rsidP="00762BC7">
      <w:pPr>
        <w:pStyle w:val="Textbody"/>
        <w:tabs>
          <w:tab w:val="left" w:pos="5550"/>
        </w:tabs>
        <w:spacing w:after="0"/>
        <w:jc w:val="both"/>
      </w:pPr>
      <w:r>
        <w:rPr>
          <w:rFonts w:eastAsia="Times New Roman" w:cs="Calibri"/>
          <w:b/>
          <w:bCs/>
          <w:u w:val="single"/>
          <w:lang w:eastAsia="pl-PL"/>
        </w:rPr>
        <w:t>Pytanie nr 1</w:t>
      </w:r>
      <w:r w:rsidR="00762BC7">
        <w:rPr>
          <w:rFonts w:eastAsia="Times New Roman" w:cs="Calibri"/>
          <w:b/>
          <w:bCs/>
          <w:u w:val="single"/>
          <w:lang w:eastAsia="pl-PL"/>
        </w:rPr>
        <w:tab/>
      </w:r>
    </w:p>
    <w:p w:rsidR="00FC4D36" w:rsidRDefault="00FC4D36" w:rsidP="00FC4D36">
      <w:pPr>
        <w:pStyle w:val="Textbody"/>
        <w:spacing w:after="0"/>
        <w:jc w:val="both"/>
      </w:pPr>
      <w:r>
        <w:rPr>
          <w:rFonts w:eastAsia="Times New Roman" w:cs="Calibri"/>
          <w:lang w:eastAsia="pl-PL"/>
        </w:rPr>
        <w:t xml:space="preserve">Proszę o informację, jak będą realizowane obowiązki stron w przypadku wystąpienia tzw. „siły wyższej”. Jednocześnie, w związku z zaistniałą sytuacją zagrożenia pandemią </w:t>
      </w:r>
      <w:proofErr w:type="spellStart"/>
      <w:r>
        <w:rPr>
          <w:rFonts w:eastAsia="Times New Roman" w:cs="Calibri"/>
          <w:lang w:eastAsia="pl-PL"/>
        </w:rPr>
        <w:t>koronawirusa</w:t>
      </w:r>
      <w:proofErr w:type="spellEnd"/>
      <w:r>
        <w:rPr>
          <w:rFonts w:eastAsia="Times New Roman" w:cs="Calibri"/>
          <w:lang w:eastAsia="pl-PL"/>
        </w:rPr>
        <w:t>, wnoszę o wprowadzenie do wzorca umowy postanowień dotyczących wystąpienia siły wyższej. Poniżej przykładowe zapisy, które Zamawiający – wzorem innych Zamawiających publicznych - mógłby wprowadzić do wzorca umowy:</w:t>
      </w:r>
    </w:p>
    <w:p w:rsidR="00FC4D36" w:rsidRDefault="00FC4D36" w:rsidP="00FC4D36">
      <w:pPr>
        <w:pStyle w:val="Standard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SIŁA WYŻSZA</w:t>
      </w:r>
    </w:p>
    <w:p w:rsidR="00FC4D36" w:rsidRDefault="00FC4D36" w:rsidP="00FC4D36">
      <w:pPr>
        <w:pStyle w:val="Standard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1. Na czas działania Siły Wyższej obowiązki Strony, która nie jest w stanie wykonać danego obowiązku ze względu na działanie Siły Wyższej, ulegają zawieszeniu.</w:t>
      </w:r>
    </w:p>
    <w:p w:rsidR="00FC4D36" w:rsidRDefault="00FC4D36" w:rsidP="00FC4D36">
      <w:pPr>
        <w:pStyle w:val="Standard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2. Strona Umowy, która opóźnia się ze swoim świadczeniem wynikającym z Umowy ze względu na działanie Siły Wyższej nie jest narażona na konsekwencję finansowe (w tym odsetki, kary albo inne konsekwencje finansowe) lub odstąpienie od Umowy przez drugą Stronę z powodu niedopełnienia obowiązków Umownych.</w:t>
      </w:r>
    </w:p>
    <w:p w:rsidR="00FC4D36" w:rsidRDefault="00FC4D36" w:rsidP="00FC4D36">
      <w:pPr>
        <w:pStyle w:val="Standard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3. Dla potrzeb Umowy, "Siła Wyższa" oznacza zdarzenie, którego wystąpienie jest niezależne od Stron i któremu nie mogą one zapobiec przy zachowaniu należytej staranności, a w szczególności: wojny, stany nadzwyczajne, klęski żywiołowe, epidemie, ograniczenia związane z kwarantanną, embargo, rewolucje, zamieszki i strajki, które uniemożliwia wykonywanie Przedmiotu Umowy.</w:t>
      </w:r>
    </w:p>
    <w:p w:rsidR="00FC4D36" w:rsidRDefault="00FC4D36" w:rsidP="00FC4D36">
      <w:pPr>
        <w:pStyle w:val="Standard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4. 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:rsidR="00FC4D36" w:rsidRDefault="00FC4D36" w:rsidP="00FC4D36">
      <w:pPr>
        <w:pStyle w:val="Standard"/>
        <w:jc w:val="both"/>
        <w:rPr>
          <w:rFonts w:eastAsia="Calibri" w:cs="Calibri"/>
          <w:lang w:eastAsia="pl-PL"/>
        </w:rPr>
      </w:pPr>
      <w:r>
        <w:rPr>
          <w:rFonts w:eastAsia="Calibri" w:cs="Calibri"/>
          <w:lang w:eastAsia="pl-PL"/>
        </w:rPr>
        <w:t>5. W przypadku ustania Siły Wyższej, Strony niezwłocznie przystąpią do realizacji swych obowiązków wynikających z Umowy.</w:t>
      </w:r>
    </w:p>
    <w:p w:rsidR="00FC4D36" w:rsidRDefault="00FC4D36" w:rsidP="00FC4D36">
      <w:pPr>
        <w:pStyle w:val="Standard"/>
        <w:jc w:val="both"/>
        <w:rPr>
          <w:rFonts w:eastAsia="Calibri" w:cs="Calibri"/>
          <w:lang w:eastAsia="pl-PL"/>
        </w:rPr>
      </w:pPr>
    </w:p>
    <w:p w:rsidR="00FC4D36" w:rsidRDefault="00FC4D36" w:rsidP="00FC4D36">
      <w:pPr>
        <w:pStyle w:val="Standard"/>
        <w:jc w:val="both"/>
        <w:rPr>
          <w:rFonts w:eastAsia="Calibri" w:cs="Calibri"/>
          <w:b/>
          <w:bCs/>
          <w:u w:val="single"/>
          <w:lang w:eastAsia="pl-PL"/>
        </w:rPr>
      </w:pPr>
      <w:r>
        <w:rPr>
          <w:rFonts w:eastAsia="Calibri" w:cs="Calibri"/>
          <w:b/>
          <w:bCs/>
          <w:u w:val="single"/>
          <w:lang w:eastAsia="pl-PL"/>
        </w:rPr>
        <w:t>Odpowiedź nr 1</w:t>
      </w:r>
    </w:p>
    <w:p w:rsidR="00FC4D36" w:rsidRDefault="00FC4D36" w:rsidP="00FC4D36">
      <w:pPr>
        <w:pStyle w:val="Standard"/>
        <w:jc w:val="both"/>
      </w:pPr>
      <w:r>
        <w:rPr>
          <w:rFonts w:eastAsia="Calibri" w:cs="Calibri"/>
          <w:lang w:eastAsia="pl-PL"/>
        </w:rPr>
        <w:t>Zamawiający informuje, że z</w:t>
      </w:r>
      <w:r>
        <w:t>apisy umowy w powyższym zakresie pozostają bez zmian.</w:t>
      </w:r>
    </w:p>
    <w:p w:rsidR="00FC4D36" w:rsidRDefault="00FC4D36" w:rsidP="00FC4D36">
      <w:pPr>
        <w:pStyle w:val="Standard"/>
        <w:jc w:val="both"/>
      </w:pPr>
    </w:p>
    <w:p w:rsidR="00FC4D36" w:rsidRDefault="00FC4D36" w:rsidP="00FC4D36">
      <w:pPr>
        <w:pStyle w:val="Standard"/>
        <w:jc w:val="both"/>
      </w:pPr>
      <w:r>
        <w:rPr>
          <w:rFonts w:eastAsia="Times New Roman" w:cs="Calibri"/>
          <w:b/>
          <w:bCs/>
          <w:u w:val="single"/>
          <w:lang w:eastAsia="pl-PL"/>
        </w:rPr>
        <w:t>Pytanie nr 2</w:t>
      </w:r>
    </w:p>
    <w:p w:rsidR="00FC4D36" w:rsidRDefault="00FC4D36" w:rsidP="00FC4D36">
      <w:pPr>
        <w:pStyle w:val="Akapitzlist"/>
        <w:ind w:left="0"/>
        <w:jc w:val="both"/>
      </w:pPr>
      <w:r>
        <w:rPr>
          <w:rFonts w:cs="Calibri"/>
          <w:lang w:eastAsia="pl-PL"/>
        </w:rPr>
        <w:t>Uprzejmie proszę o udzielenie informacji dot.</w:t>
      </w:r>
      <w:r>
        <w:rPr>
          <w:rFonts w:cs="Calibri"/>
        </w:rPr>
        <w:t xml:space="preserve"> </w:t>
      </w:r>
      <w:r>
        <w:rPr>
          <w:rFonts w:cs="Calibri"/>
          <w:lang w:eastAsia="pl-PL"/>
        </w:rPr>
        <w:t>ustrukturyzowanych dokumentów:</w:t>
      </w:r>
    </w:p>
    <w:p w:rsidR="00FC4D36" w:rsidRDefault="00FC4D36" w:rsidP="00FC4D36">
      <w:pPr>
        <w:pStyle w:val="Akapitzlist"/>
        <w:jc w:val="both"/>
        <w:rPr>
          <w:rFonts w:cs="Calibri"/>
          <w:lang w:eastAsia="pl-PL"/>
        </w:rPr>
      </w:pPr>
    </w:p>
    <w:p w:rsidR="00FC4D36" w:rsidRDefault="00FC4D36" w:rsidP="00FC4D36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cs="Calibri"/>
          <w:lang w:eastAsia="pl-PL"/>
        </w:rPr>
        <w:t xml:space="preserve">Prosimy o informację, czy Zamawiający akceptuje wystawienie przez wykonawcę ustrukturyzowanych faktur elektronicznych dotyczących wykonania umowy o przedmiotowe zamówienie publiczne tj.: faktur i faktur korygujących oraz przesłanie tychże faktur za pośrednictwem Platformy Elektronicznego Fakturowania </w:t>
      </w:r>
      <w:hyperlink r:id="rId8" w:history="1">
        <w:r>
          <w:rPr>
            <w:rStyle w:val="Hipercze"/>
          </w:rPr>
          <w:t>https://www.brokerinfinite.efaktura.gov.pl/</w:t>
        </w:r>
      </w:hyperlink>
    </w:p>
    <w:p w:rsidR="00FC4D36" w:rsidRDefault="00FC4D36" w:rsidP="00FC4D36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cs="Calibri"/>
          <w:lang w:eastAsia="pl-PL"/>
        </w:rPr>
        <w:t>Prosimy o informację, czy Zamawiający akceptuje wystawienie przez wykonawcę potwierdzenie odbioru wykonania w formie ustrukturyzowanego dokumentu elektronicznego.</w:t>
      </w:r>
    </w:p>
    <w:p w:rsidR="00FC4D36" w:rsidRDefault="00FC4D36" w:rsidP="00FC4D36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cs="Calibri"/>
          <w:lang w:eastAsia="pl-PL"/>
        </w:rPr>
        <w:t xml:space="preserve">Prosimy o podanie konta Zamawiającego znajdującego się na </w:t>
      </w:r>
      <w:r>
        <w:rPr>
          <w:rFonts w:cs="Calibri"/>
          <w:color w:val="000000"/>
          <w:lang w:eastAsia="pl-PL"/>
        </w:rPr>
        <w:t>Platformie Elektronicznego Fakturowania umożliwiającego przesłanie ustrukturyzowanej faktury elektronicznej.</w:t>
      </w:r>
    </w:p>
    <w:p w:rsidR="00FC4D36" w:rsidRDefault="00FC4D36" w:rsidP="00FC4D36">
      <w:pPr>
        <w:pStyle w:val="Akapitzlist"/>
        <w:jc w:val="both"/>
        <w:rPr>
          <w:rFonts w:cs="Calibri"/>
          <w:color w:val="000000"/>
          <w:lang w:eastAsia="pl-PL"/>
        </w:rPr>
      </w:pPr>
    </w:p>
    <w:p w:rsidR="00FC4D36" w:rsidRDefault="00FC4D36" w:rsidP="00FC4D36">
      <w:pPr>
        <w:pStyle w:val="Standard"/>
        <w:jc w:val="both"/>
      </w:pPr>
      <w:r>
        <w:rPr>
          <w:rFonts w:cs="Calibri"/>
          <w:lang w:eastAsia="pl-PL"/>
        </w:rPr>
        <w:t xml:space="preserve">Fakturowanie oraz wystawienie potwierdzeń wykonania umowy w ustrukturyzowanej formie elektronicznej jest zgodny z przepisami podatkowymi wynikającymi z ustawy o podatku od towarów i usług (VAT) a nadto ze względu na obowiązki Zamawiających wynikające z ustawy z dnia 9 listopada 2018 r. o elektronicznym fakturowaniu w zamówieniach publicznych, koncesjach na roboty budowlane lub usługi oraz partnerstwie </w:t>
      </w:r>
      <w:proofErr w:type="spellStart"/>
      <w:r>
        <w:rPr>
          <w:rFonts w:cs="Calibri"/>
          <w:lang w:eastAsia="pl-PL"/>
        </w:rPr>
        <w:t>publiczno</w:t>
      </w:r>
      <w:proofErr w:type="spellEnd"/>
      <w:r>
        <w:rPr>
          <w:rFonts w:cs="Calibri"/>
          <w:lang w:eastAsia="pl-PL"/>
        </w:rPr>
        <w:t xml:space="preserve"> – prywatnym (Dz.U. z 2019 r. poz. 2020 ze zm.) oraz jest powszechnie stosowany pomiędzy Zamawiającymi a wykonawcami. Sposób ten ułatwia wzajemną komunikację ora eliminuje szereg błędów występujących w procesie tradycyjnego fakturowania. Metoda fakturowania elektronicznego z wykorzystaniem ustrukturyzowanej faktury elektronicznej jest również rekomendowana jako docelowy sposób obiegu dokumentów księgowych przez Ministerstwo Rozwoju, Pracy i Technologii (</w:t>
      </w:r>
      <w:hyperlink r:id="rId9" w:history="1">
        <w:r>
          <w:rPr>
            <w:rStyle w:val="Hipercze"/>
          </w:rPr>
          <w:t>https://www.gov.pl/web/rozwoj-praca-technologia/e-fakturowanie-w-zamowieniach-publicznych</w:t>
        </w:r>
      </w:hyperlink>
      <w:r>
        <w:rPr>
          <w:rFonts w:cs="Calibri"/>
          <w:lang w:eastAsia="pl-PL"/>
        </w:rPr>
        <w:t>) ze względu na: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1) zmniejszenie liczby zatorów płatniczych;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2) zmniejszenie liczby błędnych i fałszywych faktur w obiegu;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3) jednolicony model obsługi e-faktur w ramach zamówień publicznych;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4) zmniejszenie kosztów operacyjnych oraz zminimalizowanie przeszkód w handlu;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5) redukcję kosztów fakturowania i przetwarzania danych oraz obsługi zamówień publicznych;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6) kompleksową e-obsługa dostaw publicznych;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7) zwiększenie szans udziału polskich firm w transgranicznym rynku zamówień publicznych i obrocie gospodarczym UE;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8) łatwiejsze archiwizowanie dokumentów;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9) wzrost cyfryzacji sektora publicznego w Polsce;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color w:val="1B1B1B"/>
          <w:lang w:eastAsia="pl-PL"/>
        </w:rPr>
      </w:pPr>
      <w:r>
        <w:rPr>
          <w:rFonts w:cs="Calibri"/>
          <w:color w:val="1B1B1B"/>
          <w:lang w:eastAsia="pl-PL"/>
        </w:rPr>
        <w:t>10) rozwój systemu płatności bezgotówkowych;</w:t>
      </w:r>
    </w:p>
    <w:p w:rsidR="00FC4D36" w:rsidRDefault="00FC4D36" w:rsidP="00FC4D36">
      <w:pPr>
        <w:pStyle w:val="Standard"/>
        <w:shd w:val="clear" w:color="auto" w:fill="FFFFFF"/>
        <w:jc w:val="both"/>
      </w:pPr>
      <w:r>
        <w:rPr>
          <w:rFonts w:cs="Calibri"/>
          <w:color w:val="1B1B1B"/>
          <w:lang w:eastAsia="pl-PL"/>
        </w:rPr>
        <w:t>11) wzrost popytu na produkty i usługi informatyczne.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lang w:eastAsia="pl-PL"/>
        </w:rPr>
      </w:pPr>
    </w:p>
    <w:p w:rsidR="00FC4D36" w:rsidRDefault="00FC4D36" w:rsidP="00FC4D36">
      <w:pPr>
        <w:pStyle w:val="Standard"/>
        <w:shd w:val="clear" w:color="auto" w:fill="FFFFFF"/>
        <w:jc w:val="both"/>
      </w:pPr>
      <w:r>
        <w:rPr>
          <w:rFonts w:eastAsia="Times New Roman" w:cs="Calibri"/>
          <w:lang w:eastAsia="pl-PL"/>
        </w:rPr>
        <w:t>Niezależnie od powyższego, zwracamy również uwagę, że zastosowanie ww. formy fakturowania i przekazywania dokumentów w dobie epidemii COVID-19 jest jedną z drobnych, ale skutecznych metod w powstrzymywaniu rozprzestrzenianiu się wirusa. Przesyłanie dokumentów w formie elektronicznej umożliwia zachowanie niezbędnego dystansu oraz gwarantuje utrzymanie ciągłości procesów księgowych i podatkowych.</w:t>
      </w:r>
    </w:p>
    <w:p w:rsidR="00FC4D36" w:rsidRDefault="00FC4D36" w:rsidP="00FC4D36">
      <w:pPr>
        <w:pStyle w:val="Standard"/>
        <w:shd w:val="clear" w:color="auto" w:fill="FFFFFF"/>
        <w:jc w:val="both"/>
        <w:rPr>
          <w:rFonts w:cs="Calibri"/>
          <w:lang w:eastAsia="pl-PL"/>
        </w:rPr>
      </w:pPr>
    </w:p>
    <w:p w:rsidR="00FC4D36" w:rsidRDefault="00FC4D36" w:rsidP="00FC4D36">
      <w:pPr>
        <w:pStyle w:val="Standard"/>
        <w:jc w:val="both"/>
        <w:rPr>
          <w:rFonts w:eastAsia="Times New Roman" w:cs="Calibri"/>
          <w:b/>
          <w:bCs/>
          <w:u w:val="single"/>
          <w:lang w:eastAsia="pl-PL"/>
        </w:rPr>
      </w:pPr>
      <w:r>
        <w:rPr>
          <w:rFonts w:eastAsia="Times New Roman" w:cs="Calibri"/>
          <w:b/>
          <w:bCs/>
          <w:u w:val="single"/>
          <w:lang w:eastAsia="pl-PL"/>
        </w:rPr>
        <w:t>Odpowiedź nr 2</w:t>
      </w:r>
    </w:p>
    <w:p w:rsidR="00FC4D36" w:rsidRDefault="00FC4D36" w:rsidP="00FC4D36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eastAsia="Times New Roman" w:cs="Calibri"/>
          <w:lang w:eastAsia="pl-PL"/>
        </w:rPr>
        <w:t xml:space="preserve">Zamawiający akceptuje wystawienie przez wykonawcę ustrukturyzowanych faktur elektronicznych dotyczących wykonania umowy o przedmiotowe zamówienie publiczne tj.: faktur i faktur korygujących oraz przesłanie tychże faktur za pośrednictwem Platformy Elektronicznego Fakturowania </w:t>
      </w:r>
      <w:hyperlink r:id="rId10" w:history="1">
        <w:r>
          <w:rPr>
            <w:rStyle w:val="Hipercze"/>
            <w:rFonts w:eastAsia="Calibri" w:cs="Calibri"/>
            <w:b/>
            <w:bCs/>
          </w:rPr>
          <w:t>https://www.brokerinfinite.efaktura.gov.pl/</w:t>
        </w:r>
      </w:hyperlink>
    </w:p>
    <w:p w:rsidR="00FC4D36" w:rsidRDefault="00FC4D36" w:rsidP="00FC4D36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eastAsia="Times New Roman" w:cs="Calibri"/>
          <w:lang w:eastAsia="pl-PL"/>
        </w:rPr>
        <w:t xml:space="preserve">Zamawiający akceptuje wystawienie przez wykonawcę potwierdzenie odbioru wykonania </w:t>
      </w:r>
      <w:r>
        <w:rPr>
          <w:rFonts w:eastAsia="Times New Roman" w:cs="Calibri"/>
          <w:lang w:eastAsia="pl-PL"/>
        </w:rPr>
        <w:lastRenderedPageBreak/>
        <w:t>w formie ustrukturyzowanego dokumentu elektronicznego.</w:t>
      </w:r>
    </w:p>
    <w:p w:rsidR="00FC4D36" w:rsidRDefault="00FC4D36" w:rsidP="00FC4D36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eastAsia="Times New Roman" w:cs="Calibri"/>
          <w:lang w:eastAsia="pl-PL"/>
        </w:rPr>
        <w:t>konto Zamawiającego zostanie udostępnione w razie konieczności wystawienia faktury.</w:t>
      </w:r>
    </w:p>
    <w:p w:rsidR="00FC4D36" w:rsidRDefault="00FC4D36" w:rsidP="00FC4D36">
      <w:pPr>
        <w:pStyle w:val="Akapitzlist"/>
        <w:jc w:val="both"/>
        <w:rPr>
          <w:rFonts w:eastAsia="Times New Roman" w:cs="Calibri"/>
          <w:lang w:eastAsia="pl-PL"/>
        </w:rPr>
      </w:pPr>
    </w:p>
    <w:p w:rsidR="00FC4D36" w:rsidRDefault="00FC4D36" w:rsidP="00FC4D36">
      <w:pPr>
        <w:pStyle w:val="Akapitzlist"/>
        <w:ind w:left="0"/>
        <w:jc w:val="both"/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Pytanie nr 3</w:t>
      </w:r>
    </w:p>
    <w:p w:rsidR="00FC4D36" w:rsidRDefault="00FC4D36" w:rsidP="00FC4D36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Uprzejmie proszę o wyjaśnienie czy Zamawiający dopuszcza waloryzację wynagrodzenia umownego o wskaźnik wzrostu cen towarów i usług konsumpcyjnych?</w:t>
      </w:r>
    </w:p>
    <w:p w:rsidR="00FC4D36" w:rsidRDefault="00FC4D36" w:rsidP="00FC4D36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Zamawiający nie zamieścił w umowie, ani w zasadniczej części SIWZ zapisów dotyczących waloryzacji wynagrodzenia w innych okolicznościach niż wynikające z art. 142 ust. 5 ustawy Prawo zamówień publicznych. Jednocześnie Zamawiający nie wykluczył zmian do umowy dokonywanych w oparciu o art. 144 ustawy PZP. Wobec powyższego, mając na uwadze długi okres realizacji zamówienia oraz dynamikę wzrostu cen towarów i usług – (Ceny towarów i usług konsumpcyjnych w maju 2019 r. w stosunku do poprzedniego miesiąca, wzrosły o 0,2% (przy wzroście cen towarów – o 0,6% i spadku cen usług – o 0,9%).</w:t>
      </w:r>
    </w:p>
    <w:p w:rsidR="00FC4D36" w:rsidRDefault="00FC4D36" w:rsidP="00FC4D36">
      <w:pPr>
        <w:pStyle w:val="Akapitzlist"/>
        <w:ind w:left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porównaniu z analogicznym miesiącem ub. roku ceny towarów i usług konsumpcyjnych wzrosły o 2,4% (w tym usług – o 3,3% i towarów – o 2,0%)) - dążąc do ustalenia optymalnej ceny za wykonanie przedmiotowej usługi (tj. bez zbędnego podnoszenia ceny ofertowej o rezerwę na wypadek ewentualnego dalszego wzrostu cen produktów, surowców, materiałów oraz energii) prosimy o wprowadzenie do umowy zapisu o treści: „Strony ustalają, że wynagrodzenie za przedmiot podlega raz do roku (w pierwszym kwartale każdego rozpoczętego roku realizacji umowy) waloryzacji według wskaźnika wzrostu cen, publikowanego przez GUS w Biuletynie Statystycznym. Waloryzacja będzie naliczana od dnia ........... 20….r. Naliczenie waloryzacji następuje wskaźnikiem za rok poprzedni”.</w:t>
      </w:r>
    </w:p>
    <w:p w:rsidR="00FC4D36" w:rsidRDefault="00FC4D36" w:rsidP="00FC4D36">
      <w:pPr>
        <w:pStyle w:val="Akapitzlist"/>
        <w:ind w:left="0"/>
        <w:jc w:val="both"/>
        <w:rPr>
          <w:rFonts w:eastAsia="Times New Roman" w:cs="Calibri"/>
          <w:color w:val="000000"/>
          <w:lang w:eastAsia="pl-PL"/>
        </w:rPr>
      </w:pPr>
    </w:p>
    <w:p w:rsidR="00FC4D36" w:rsidRDefault="00FC4D36" w:rsidP="00FC4D36">
      <w:pPr>
        <w:pStyle w:val="Akapitzlist"/>
        <w:ind w:left="0"/>
        <w:jc w:val="both"/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Odpowiedź nr 3</w:t>
      </w:r>
    </w:p>
    <w:p w:rsidR="00FC4D36" w:rsidRDefault="00FC4D36" w:rsidP="00FC4D36">
      <w:pPr>
        <w:pStyle w:val="Akapitzlist"/>
        <w:ind w:left="0"/>
        <w:jc w:val="both"/>
      </w:pPr>
      <w:r>
        <w:rPr>
          <w:rFonts w:eastAsia="Calibri" w:cs="Calibri"/>
          <w:color w:val="000000"/>
          <w:lang w:eastAsia="pl-PL"/>
        </w:rPr>
        <w:t>Zamawiający informuje, że z</w:t>
      </w:r>
      <w:r>
        <w:rPr>
          <w:rFonts w:eastAsia="Times New Roman" w:cs="Calibri"/>
          <w:color w:val="000000"/>
          <w:lang w:eastAsia="pl-PL"/>
        </w:rPr>
        <w:t>apisy umowy w powyższym zakresie pozostają bez zmian.</w:t>
      </w:r>
    </w:p>
    <w:p w:rsidR="00FC4D36" w:rsidRDefault="00FC4D36" w:rsidP="00FC4D36">
      <w:pPr>
        <w:pStyle w:val="Akapitzlist"/>
        <w:ind w:left="0"/>
        <w:jc w:val="both"/>
        <w:rPr>
          <w:rFonts w:eastAsia="Times New Roman" w:cs="Calibri"/>
        </w:rPr>
      </w:pPr>
    </w:p>
    <w:p w:rsidR="00FC4D36" w:rsidRDefault="00FC4D36" w:rsidP="00FC4D36">
      <w:pPr>
        <w:pStyle w:val="Akapitzlist"/>
        <w:ind w:left="0"/>
        <w:jc w:val="both"/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Pytanie nr 4</w:t>
      </w:r>
    </w:p>
    <w:p w:rsidR="00FC4D36" w:rsidRDefault="00FC4D36" w:rsidP="00FC4D36">
      <w:pPr>
        <w:pStyle w:val="Akapitzlist"/>
        <w:ind w:left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Prosimy o informację czy w związku z sytuacja związaną z COVID-19 Zamawiający dopuszcza składanie oferty elektronicznie lub na podstawie przesłanego skanu?</w:t>
      </w:r>
    </w:p>
    <w:p w:rsidR="00FC4D36" w:rsidRDefault="00FC4D36" w:rsidP="00FC4D36">
      <w:pPr>
        <w:pStyle w:val="Akapitzlist"/>
        <w:ind w:left="0"/>
        <w:jc w:val="both"/>
        <w:rPr>
          <w:rFonts w:eastAsia="Times New Roman" w:cs="Calibri"/>
          <w:color w:val="000000"/>
          <w:lang w:eastAsia="pl-PL"/>
        </w:rPr>
      </w:pPr>
    </w:p>
    <w:p w:rsidR="00FC4D36" w:rsidRDefault="00FC4D36" w:rsidP="00FC4D36">
      <w:pPr>
        <w:pStyle w:val="Akapitzlist"/>
        <w:ind w:left="0"/>
        <w:jc w:val="both"/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Odpowiedź nr 4</w:t>
      </w:r>
    </w:p>
    <w:p w:rsidR="00FC4D36" w:rsidRDefault="00FC4D36" w:rsidP="00FC4D36">
      <w:pPr>
        <w:pStyle w:val="Akapitzlist"/>
        <w:ind w:left="0"/>
        <w:jc w:val="both"/>
      </w:pPr>
      <w:r>
        <w:rPr>
          <w:rFonts w:eastAsia="Times New Roman" w:cs="Calibri"/>
          <w:color w:val="000000"/>
          <w:lang w:eastAsia="pl-PL"/>
        </w:rPr>
        <w:t xml:space="preserve">Ofertę należy złożyć zgodnie z Rozdziałem I pkt 3 Instrukcji dla Wykonawców- oferta </w:t>
      </w:r>
      <w:r>
        <w:rPr>
          <w:rFonts w:eastAsia="Times New Roman" w:cs="Times New Roman"/>
          <w:color w:val="000000"/>
          <w:lang w:eastAsia="pl-PL"/>
        </w:rPr>
        <w:t>musi by</w:t>
      </w:r>
      <w:r>
        <w:rPr>
          <w:rFonts w:eastAsia="TimesNewRoman, 'Arial Unicode M" w:cs="Times New Roman"/>
          <w:color w:val="000000"/>
          <w:lang w:eastAsia="pl-PL"/>
        </w:rPr>
        <w:t xml:space="preserve">ć </w:t>
      </w:r>
      <w:r>
        <w:rPr>
          <w:rFonts w:eastAsia="Times New Roman" w:cs="Times New Roman"/>
          <w:color w:val="000000"/>
          <w:lang w:eastAsia="pl-PL"/>
        </w:rPr>
        <w:t>sporz</w:t>
      </w:r>
      <w:r>
        <w:rPr>
          <w:rFonts w:eastAsia="TimesNewRoman, 'Arial Unicode M" w:cs="Times New Roman"/>
          <w:color w:val="000000"/>
          <w:lang w:eastAsia="pl-PL"/>
        </w:rPr>
        <w:t>ą</w:t>
      </w:r>
      <w:r>
        <w:rPr>
          <w:rFonts w:eastAsia="Times New Roman" w:cs="Times New Roman"/>
          <w:color w:val="000000"/>
          <w:lang w:eastAsia="pl-PL"/>
        </w:rPr>
        <w:t>dzona na pi</w:t>
      </w:r>
      <w:r>
        <w:rPr>
          <w:rFonts w:eastAsia="TimesNewRoman, 'Arial Unicode M" w:cs="Times New Roman"/>
          <w:color w:val="000000"/>
          <w:lang w:eastAsia="pl-PL"/>
        </w:rPr>
        <w:t>ś</w:t>
      </w:r>
      <w:r>
        <w:rPr>
          <w:rFonts w:eastAsia="Times New Roman" w:cs="Times New Roman"/>
          <w:color w:val="000000"/>
          <w:lang w:eastAsia="pl-PL"/>
        </w:rPr>
        <w:t>mie, czytelnie, w j</w:t>
      </w:r>
      <w:r>
        <w:rPr>
          <w:rFonts w:eastAsia="TimesNewRoman, 'Arial Unicode M" w:cs="Times New Roman"/>
          <w:color w:val="000000"/>
          <w:lang w:eastAsia="pl-PL"/>
        </w:rPr>
        <w:t>ę</w:t>
      </w:r>
      <w:r>
        <w:rPr>
          <w:rFonts w:eastAsia="Times New Roman" w:cs="Times New Roman"/>
          <w:color w:val="000000"/>
          <w:lang w:eastAsia="pl-PL"/>
        </w:rPr>
        <w:t>zyku polskim.</w:t>
      </w:r>
      <w:r>
        <w:t xml:space="preserve"> Nie ma konieczności składania oferty osobiście - można ją dostarczyć za pośrednictwem poczty lub kuriera.</w:t>
      </w:r>
    </w:p>
    <w:p w:rsidR="00FC4D36" w:rsidRDefault="00FC4D36" w:rsidP="00FC4D36">
      <w:pPr>
        <w:pStyle w:val="Standard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5</w:t>
      </w:r>
    </w:p>
    <w:p w:rsidR="00FC4D36" w:rsidRDefault="00FC4D36" w:rsidP="00FC4D36">
      <w:pPr>
        <w:pStyle w:val="Standard"/>
        <w:jc w:val="both"/>
      </w:pPr>
      <w:r>
        <w:rPr>
          <w:rFonts w:eastAsia="Times New Roman" w:cs="Calibri"/>
          <w:lang w:eastAsia="pl-PL"/>
        </w:rPr>
        <w:t>Prosimy o przygotowanie zestawienia ilości wydawanych śniadań, II śniadań, obiadów, podwieczorków i kolacji z podziałem na poszczególne miesiące w okresie od stycznia 2020r. do września 2020r. Informacja ta umożliwi Wykonawcy m.in. prawidłowe skalkulowanie termosów i innych pojemników do transportu posiłków. Prosimy o podanie liczby osobodni wg. poniższego wzoru:</w:t>
      </w:r>
    </w:p>
    <w:tbl>
      <w:tblPr>
        <w:tblW w:w="8340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415"/>
        <w:gridCol w:w="1416"/>
        <w:gridCol w:w="1160"/>
        <w:gridCol w:w="1700"/>
        <w:gridCol w:w="1252"/>
      </w:tblGrid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II śniadanie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obiad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podwieczorek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kolacja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Styczeń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Luty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Kwiecień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Maj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Czerwiec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Lipiec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Sierpień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Wrzesień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FC4D36" w:rsidRDefault="00FC4D36" w:rsidP="00FC4D36">
      <w:pPr>
        <w:pStyle w:val="Nagwek"/>
        <w:tabs>
          <w:tab w:val="clear" w:pos="4536"/>
          <w:tab w:val="clear" w:pos="9072"/>
          <w:tab w:val="left" w:pos="1428"/>
          <w:tab w:val="center" w:pos="5256"/>
          <w:tab w:val="right" w:pos="9792"/>
        </w:tabs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5</w:t>
      </w:r>
    </w:p>
    <w:p w:rsidR="00FC4D36" w:rsidRDefault="00FC4D36" w:rsidP="00FC4D36">
      <w:pPr>
        <w:pStyle w:val="Standard"/>
        <w:jc w:val="both"/>
        <w:rPr>
          <w:rFonts w:eastAsia="Times New Roman" w:cs="Calibri"/>
          <w:lang w:eastAsia="pl-PL"/>
        </w:rPr>
      </w:pPr>
    </w:p>
    <w:tbl>
      <w:tblPr>
        <w:tblW w:w="8340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415"/>
        <w:gridCol w:w="1416"/>
        <w:gridCol w:w="1160"/>
        <w:gridCol w:w="1700"/>
        <w:gridCol w:w="1252"/>
      </w:tblGrid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4D36" w:rsidTr="00FC4D36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36" w:rsidRDefault="00FC4D36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*Średnie ilości wydawanych posiłków.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informacje jaki jest aktualny wsad do kotła w kwocie brutto.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Aktualny wsad do kotła to 11,10 zł brutto.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7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kto aktualnie wykonuje usługę oraz w jakim systemie.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7</w:t>
      </w:r>
    </w:p>
    <w:p w:rsidR="00FC4D36" w:rsidRDefault="00FC4D36" w:rsidP="00FC4D36">
      <w:pPr>
        <w:pStyle w:val="Textbody"/>
        <w:spacing w:after="0"/>
        <w:jc w:val="both"/>
      </w:pPr>
      <w:bookmarkStart w:id="0" w:name="MainContent_lblName"/>
      <w:bookmarkEnd w:id="0"/>
      <w:r>
        <w:rPr>
          <w:rStyle w:val="StrongEmphasis"/>
          <w:rFonts w:eastAsia="Times New Roman" w:cs="Times New Roman"/>
          <w:color w:val="000000"/>
          <w:lang w:eastAsia="pl-PL"/>
        </w:rPr>
        <w:t>FIRMA HANDLOWA BAJA S.C. JANUSZ LAZAR LILIANA LAZAR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Firma wykonuje usługę zgodnie z umową.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8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jaka jest aktualna stawka jednostkowa brutto za osobodzień z podziałem na poszczególne posiłki: śniadanie, II śniadanie, obiad, podwieczorek, kolacja.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8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Aktualna stawka to: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Śniadanie: 3,90 zł 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II śniadanie: 0,90 zł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lastRenderedPageBreak/>
        <w:t>Obiad: 9,28 zł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Kolacja: 3,90 zł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Dożywianie: 0,90 zł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9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nawiązaniu do rozdziału X pkt 5 prosimy o wymienienie jakie produkty spożywcze Zamawiający uznaje za przetworzone technologicznie. Prosimy również o wskazanie konkretnych produktów które wolno stosować, a których nie.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9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Style w:val="StrongEmphasis"/>
          <w:lang w:eastAsia="pl-PL"/>
        </w:rPr>
        <w:t>Żywność przetworzona technologicznie to żywność poddana obróbce przemysłowej, często z substancjami dodatkowymi (cukier, sól, tłuszcz, witaminy, konserwanty, polepszacze smaku itd.)</w:t>
      </w:r>
      <w:r>
        <w:rPr>
          <w:rFonts w:eastAsia="Times New Roman" w:cs="Times New Roman"/>
          <w:color w:val="000000"/>
          <w:lang w:eastAsia="pl-PL"/>
        </w:rPr>
        <w:t>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color w:val="000000"/>
          <w:lang w:eastAsia="pl-PL"/>
        </w:rPr>
        <w:t>Zamawiający nie dopuszcza stosowania półproduktów, czy gotowych produktów- np. gotowych pierogów, itp.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wyjaśnienie szczegółowo co Zamawiający miał na myśli  w załączniku do ogłoszenia Rozdział IX pkt 9  ppkt 5) wskazując posiłki dzienne tj. Dożywianie, jakie konkretne posiłki zawiera w sobie, na czym polega „dożywianie”, ile osób dziennie obejmuje, co dokładnie wchodzi w skład dożywiania, jakich diet dotyczy dożywianie.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10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color w:val="000000"/>
          <w:lang w:eastAsia="pl-PL"/>
        </w:rPr>
        <w:t xml:space="preserve"> „Dożywianie”, rozumiane zgodnie z </w:t>
      </w:r>
      <w:r>
        <w:rPr>
          <w:rFonts w:cs="Times New Roman"/>
        </w:rPr>
        <w:t>§</w:t>
      </w:r>
      <w:r>
        <w:rPr>
          <w:rFonts w:eastAsia="Times New Roman" w:cs="Times New Roman"/>
          <w:color w:val="000000"/>
          <w:lang w:eastAsia="pl-PL"/>
        </w:rPr>
        <w:t xml:space="preserve"> 6, ust.1 pkt 6) Rozporządzenia Ministra Pracy i Polityki Społecznej z dnia 23 sierpnia 2012 r. w sprawie domów pomocy społecznej.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11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jakie konkretne diety są aktualnie stosowane wraz ze wskazaniem ilości wydawanych posiłków w tych dietach za okres od 01.10.2019 do 31.10.2020.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11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Dieta podstawowa - p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Dieta cukrzycowa – c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Dieta cukrzycowa bezmleczna - </w:t>
      </w:r>
      <w:proofErr w:type="spellStart"/>
      <w:r>
        <w:rPr>
          <w:rFonts w:eastAsia="Calibri" w:cs="Calibri"/>
          <w:color w:val="000000"/>
          <w:lang w:eastAsia="pl-PL"/>
        </w:rPr>
        <w:t>cbn</w:t>
      </w:r>
      <w:proofErr w:type="spellEnd"/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Dieta cukrzycowa </w:t>
      </w:r>
      <w:proofErr w:type="spellStart"/>
      <w:r>
        <w:rPr>
          <w:rFonts w:eastAsia="Calibri" w:cs="Calibri"/>
          <w:color w:val="000000"/>
          <w:lang w:eastAsia="pl-PL"/>
        </w:rPr>
        <w:t>bogatoresztkowa</w:t>
      </w:r>
      <w:proofErr w:type="spellEnd"/>
      <w:r>
        <w:rPr>
          <w:rFonts w:eastAsia="Calibri" w:cs="Calibri"/>
          <w:color w:val="000000"/>
          <w:lang w:eastAsia="pl-PL"/>
        </w:rPr>
        <w:t xml:space="preserve"> - </w:t>
      </w:r>
      <w:proofErr w:type="spellStart"/>
      <w:r>
        <w:rPr>
          <w:rFonts w:eastAsia="Calibri" w:cs="Calibri"/>
          <w:color w:val="000000"/>
          <w:lang w:eastAsia="pl-PL"/>
        </w:rPr>
        <w:t>cbr</w:t>
      </w:r>
      <w:proofErr w:type="spellEnd"/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Dieta lekkostrawna - l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Dieta lekkostrawna bezmleczna.- </w:t>
      </w:r>
      <w:proofErr w:type="spellStart"/>
      <w:r>
        <w:rPr>
          <w:rFonts w:eastAsia="Calibri" w:cs="Calibri"/>
          <w:color w:val="000000"/>
          <w:lang w:eastAsia="pl-PL"/>
        </w:rPr>
        <w:t>lbn</w:t>
      </w:r>
      <w:proofErr w:type="spellEnd"/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tbl>
      <w:tblPr>
        <w:tblW w:w="864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C4D36" w:rsidTr="00FC4D36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cbn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cbr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lbn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10.2019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11.2019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12.2019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01.2020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02.2020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03.2020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04.2020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05.2020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06.2020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lastRenderedPageBreak/>
              <w:t>07.2020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08.2020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09.2020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4D36" w:rsidRDefault="00FC4D3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FC4D36" w:rsidTr="00FC4D36">
        <w:trPr>
          <w:trHeight w:val="28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4D36" w:rsidRDefault="00FC4D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*Średnia ilość osób na danej diecie w danym miesiącu.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12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wymienienie jakie diety wymagają dostarczania II śniadania.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12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Są to wszystkie diety cukrzycowe.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13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potwierdzenie czy podwieczorek ma być dostarczany do każdego posiłku obiadowego w każdej diecie czy dotyczy tylko określonych diet jeżeli tak to jakich.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13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Podwieczorek ma być dostarczany do każdego posiłku obiadowego w każdej diecie.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14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Calibri" w:cs="Calibri"/>
          <w:color w:val="000000"/>
          <w:lang w:eastAsia="pl-PL"/>
        </w:rPr>
        <w:t>Prosimy o przesłanie aktualnego ostatniego 14 dniowego jadłospisu obowiązującego w miesiącu październik 2020.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14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Jadłospis w załączniku do odpowiedzi.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15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Calibri" w:cs="Calibri"/>
          <w:color w:val="000000"/>
          <w:lang w:eastAsia="pl-PL"/>
        </w:rPr>
        <w:t>W nawiązaniu do załącznika do ogłoszenia  rozdział X pkt 18 Zamawiający zobowiązuje Wykonawcę do dostarczenia nie częściej niż 2 razy w roku produktów dodatkowo, prosimy o informację jakie dokładnie produkty Zamawiający ma na myśli oraz w jakich ilościach bazując na realizacji z roku 2019.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b/>
          <w:bCs/>
          <w:u w:val="single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15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Produkty dostarczane dodatkowo, na imprezy okolicznościowe ustalane są na bieżąco, tak, by były zgodne z charakterem imprezy okolicznościowej.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nawiązaniu do załącznika do ogłoszenia  rozdział X pkt 18 Zamawiający zobowiązuje Wykonawcę do dostarczenia  dodatkowych posiłków na imprezy okolicznościowe organizowane przez DPS, prosimy o przedstawienie zestawienia wykazu takich imprez zrealizowanych w roku 2019, oraz przedstawienie przykładowego menu, a także informację o ilości dostarczonych posiłków z podziałem na poszczególne imprezy okolicznościowe, a także godzinami dostawy.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I impreza (plenerowa- poza DPS-em):</w:t>
      </w:r>
    </w:p>
    <w:p w:rsidR="00FC4D36" w:rsidRDefault="00FC4D36" w:rsidP="00FC4D36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Zupa- żurek.</w:t>
      </w:r>
    </w:p>
    <w:p w:rsidR="00FC4D36" w:rsidRDefault="00FC4D36" w:rsidP="00FC4D36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lastRenderedPageBreak/>
        <w:t>Kiełbasa na ognisko.</w:t>
      </w:r>
    </w:p>
    <w:p w:rsidR="00FC4D36" w:rsidRDefault="00FC4D36" w:rsidP="00FC4D36">
      <w:pPr>
        <w:pStyle w:val="Akapitzlist"/>
        <w:numPr>
          <w:ilvl w:val="0"/>
          <w:numId w:val="3"/>
        </w:numPr>
      </w:pPr>
      <w:r>
        <w:t>Pieczywo- chleb i bułki.</w:t>
      </w:r>
    </w:p>
    <w:p w:rsidR="00FC4D36" w:rsidRDefault="00FC4D36" w:rsidP="00FC4D36">
      <w:pPr>
        <w:pStyle w:val="Akapitzlist"/>
        <w:numPr>
          <w:ilvl w:val="0"/>
          <w:numId w:val="3"/>
        </w:numPr>
      </w:pPr>
      <w:r>
        <w:t>Ketchup, musztarda.</w:t>
      </w:r>
    </w:p>
    <w:p w:rsidR="00FC4D36" w:rsidRDefault="00FC4D36" w:rsidP="00FC4D36">
      <w:pPr>
        <w:pStyle w:val="Akapitzlist"/>
        <w:numPr>
          <w:ilvl w:val="0"/>
          <w:numId w:val="3"/>
        </w:numPr>
      </w:pPr>
      <w:r>
        <w:t>Naczynia jednorazowe.</w:t>
      </w:r>
    </w:p>
    <w:p w:rsidR="00FC4D36" w:rsidRDefault="00FC4D36" w:rsidP="00FC4D36">
      <w:pPr>
        <w:pStyle w:val="Akapitzlist"/>
      </w:pPr>
    </w:p>
    <w:p w:rsidR="00FC4D36" w:rsidRDefault="00FC4D36" w:rsidP="00FC4D36">
      <w:pPr>
        <w:tabs>
          <w:tab w:val="left" w:pos="708"/>
          <w:tab w:val="center" w:pos="4536"/>
          <w:tab w:val="right" w:pos="9072"/>
        </w:tabs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Łączna ilość osób: 100-120 osób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II impreza plenerowa: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Zupa meksykańska.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Sałatka jarzynowa.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Sałatka grecka.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Kanapki z różnymi wędlinami.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Koreczki-dwa rodzaje.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Paszteciki, mini kotlety.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Pieczywo- chleb i bułki.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Ketchup, musztarda.</w:t>
      </w:r>
    </w:p>
    <w:p w:rsidR="00FC4D36" w:rsidRDefault="00FC4D36" w:rsidP="00FC4D36">
      <w:pPr>
        <w:pStyle w:val="Akapitzlist"/>
        <w:numPr>
          <w:ilvl w:val="0"/>
          <w:numId w:val="4"/>
        </w:numPr>
      </w:pPr>
      <w:r>
        <w:t>Naczynia jednorazowe.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Łączna ilość osób: 110. 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 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17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nawiązaniu do załącznika do ogłoszenia  rozdział X pkt 18 Prosimy o potwierdzenie, że do obowiązków Wykonawcy należy tylko i wyłącznie sama dostawa posiłków na imprezy okolicznościowe.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17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Do obowiązków Wykonawcy należy dostarczenie posiłków na imprezy okolicznościowe w takiej formie, aby były gotowe do podania dla Mieszkańców.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 xml:space="preserve"> Pytanie nr 18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podanie liczby uczestników imprez okolicznościowych w 2019 roku.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18</w:t>
      </w:r>
    </w:p>
    <w:p w:rsidR="00FC4D36" w:rsidRDefault="00FC4D36" w:rsidP="00FC4D36">
      <w:pPr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color w:val="000000"/>
          <w:lang w:eastAsia="pl-PL"/>
        </w:rPr>
        <w:t>Pierwsza impreza okolicznościowa:</w:t>
      </w:r>
      <w:r>
        <w:rPr>
          <w:rFonts w:eastAsia="Calibri" w:cs="Calibri"/>
          <w:color w:val="000000"/>
          <w:lang w:eastAsia="pl-PL"/>
        </w:rPr>
        <w:t xml:space="preserve"> 100- 120 osób.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color w:val="000000"/>
          <w:lang w:eastAsia="pl-PL"/>
        </w:rPr>
        <w:t>Druga impreza okolicznościowa:</w:t>
      </w:r>
      <w:r>
        <w:rPr>
          <w:rFonts w:eastAsia="Calibri" w:cs="Calibri"/>
          <w:color w:val="000000"/>
          <w:lang w:eastAsia="pl-PL"/>
        </w:rPr>
        <w:t xml:space="preserve"> 110</w:t>
      </w:r>
      <w:r>
        <w:rPr>
          <w:rFonts w:eastAsia="Times New Roman" w:cs="Times New Roman"/>
          <w:color w:val="000000"/>
          <w:lang w:eastAsia="pl-PL"/>
        </w:rPr>
        <w:t xml:space="preserve"> osób.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19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nawiązaniu do załącznika do ogłoszenia rozdział X pkt 19 ppkt 6 a) proponujemy wprowadzenie zmiany z godziny 7:45 na godzinę 7:00  oraz dostarczanie posiłków z godziny 7:45 na godzinę 8:00, ponieważ niemożliwym jest zgłaszanie zapotrzebowania na posiłki na dzień bieżący do godziny 7:45 i dostarczania ich  również na godzinę 7:45.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19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Zamawiający informuje, że zapisy Instrukcji na Wykonawców w powyższym zakresie pozostają bez zmian.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Zwracamy się z prośbą o wykreślenie całego  zapisu w załączniku do ogłoszenia  rozdział X pkt 19 pkt 9, godziny dostarczania posiłków powinny być stałe w celu zapewnienia sprawnej </w:t>
      </w:r>
      <w:r>
        <w:rPr>
          <w:rFonts w:eastAsia="Calibri" w:cs="Calibri"/>
          <w:color w:val="000000"/>
          <w:lang w:eastAsia="pl-PL"/>
        </w:rPr>
        <w:lastRenderedPageBreak/>
        <w:t>organizacji kuchni centralnej.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Zamawiający informuje, że zapisy Instrukcji na Wykonawców w powyższym zakresie pozostają bez zmian.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21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Odnosząc się do zapisu w załączniku do ogłoszenia  rozdział X pkt 20, zwracajmy się z prośbą o wyjaśnienie w jaki sposób osoba dowożąca posiłki-kierowca ma być odpowiedzialna za ocenę jakości posiłków.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21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Kierowca jest osobą zatrudnioną przez Wykonawcę bezpośrednio pośredniczącą w dystrybucji posiłków. Jej odpowiedzialność polega na sprawdzeniu ewentualnych zastrzeżeń pracownika kuchni i przekazaniu ich Wykonawcy.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22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wyjaśnienie  na  jakiej zasadzie ma odbywać się prawidłowa ocena jakości posiłków, oraz prosimy o wskazanie czynności, które przez aktualnego wykonawcę są podejmowane w celu stwierdzenia przez osobę dowożącą posiłki ich prawidłowej jakości.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22</w:t>
      </w:r>
    </w:p>
    <w:p w:rsidR="00FC4D36" w:rsidRDefault="00FC4D36" w:rsidP="00FC4D36">
      <w:pPr>
        <w:widowControl/>
        <w:suppressAutoHyphens w:val="0"/>
      </w:pPr>
      <w:r>
        <w:rPr>
          <w:rFonts w:eastAsia="Times New Roman" w:cs="Times New Roman"/>
          <w:bCs/>
          <w:color w:val="000000"/>
          <w:lang w:eastAsia="pl-PL"/>
        </w:rPr>
        <w:t>Prawidłowa ocena jakości posiłków polega na:</w:t>
      </w:r>
      <w:r>
        <w:t xml:space="preserve"> </w:t>
      </w:r>
    </w:p>
    <w:p w:rsidR="00FC4D36" w:rsidRDefault="00FC4D36" w:rsidP="00FC4D36">
      <w:pPr>
        <w:pStyle w:val="Akapitzlist"/>
        <w:widowControl/>
        <w:numPr>
          <w:ilvl w:val="0"/>
          <w:numId w:val="5"/>
        </w:numPr>
        <w:suppressAutoHyphens w:val="0"/>
        <w:ind w:left="709" w:hanging="283"/>
      </w:pPr>
      <w:r>
        <w:t>ocenie sensorycznej,</w:t>
      </w:r>
    </w:p>
    <w:p w:rsidR="00FC4D36" w:rsidRDefault="00FC4D36" w:rsidP="00FC4D36">
      <w:pPr>
        <w:pStyle w:val="Akapitzlist"/>
        <w:widowControl/>
        <w:numPr>
          <w:ilvl w:val="0"/>
          <w:numId w:val="5"/>
        </w:numPr>
        <w:suppressAutoHyphens w:val="0"/>
        <w:ind w:left="709" w:hanging="283"/>
      </w:pPr>
      <w:r>
        <w:t>ocenie temperatur dostarczonych potraw,</w:t>
      </w:r>
    </w:p>
    <w:p w:rsidR="00FC4D36" w:rsidRDefault="00FC4D36" w:rsidP="00FC4D36">
      <w:pPr>
        <w:pStyle w:val="Akapitzlist"/>
        <w:widowControl/>
        <w:numPr>
          <w:ilvl w:val="0"/>
          <w:numId w:val="5"/>
        </w:numPr>
        <w:suppressAutoHyphens w:val="0"/>
        <w:ind w:left="709" w:hanging="283"/>
      </w:pPr>
      <w:r>
        <w:t>ocenie wizualnej,</w:t>
      </w:r>
    </w:p>
    <w:p w:rsidR="00FC4D36" w:rsidRDefault="00FC4D36" w:rsidP="00FC4D36">
      <w:pPr>
        <w:pStyle w:val="Akapitzlist"/>
        <w:widowControl/>
        <w:numPr>
          <w:ilvl w:val="0"/>
          <w:numId w:val="5"/>
        </w:numPr>
        <w:suppressAutoHyphens w:val="0"/>
        <w:ind w:left="709" w:hanging="283"/>
      </w:pPr>
      <w:r>
        <w:t>sprawdzeniu ilości dostarczonych potraw,</w:t>
      </w:r>
    </w:p>
    <w:p w:rsidR="00FC4D36" w:rsidRDefault="00FC4D36" w:rsidP="00FC4D36">
      <w:pPr>
        <w:pStyle w:val="Akapitzlist"/>
        <w:widowControl/>
        <w:numPr>
          <w:ilvl w:val="0"/>
          <w:numId w:val="5"/>
        </w:numPr>
        <w:suppressAutoHyphens w:val="0"/>
        <w:ind w:left="709" w:hanging="283"/>
      </w:pPr>
      <w:r>
        <w:t>ocenie sposobu dostarczenia potraw,</w:t>
      </w:r>
    </w:p>
    <w:p w:rsidR="00FC4D36" w:rsidRDefault="00FC4D36" w:rsidP="00FC4D36">
      <w:pPr>
        <w:pStyle w:val="Akapitzlist"/>
        <w:widowControl/>
        <w:numPr>
          <w:ilvl w:val="0"/>
          <w:numId w:val="5"/>
        </w:numPr>
        <w:suppressAutoHyphens w:val="0"/>
        <w:ind w:left="709" w:hanging="283"/>
      </w:pPr>
      <w:r>
        <w:t>ocenie zgodności dostarczanych posiłków z podanym jadłospisem.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23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nawiązaniu do załącznika do ogłoszenia rozdział X pkt 23 prosimy o wyjaśnienie jakie Zamawiający przykładowe sytuacje uważa za wyjątkowe, oraz wskazanie ile takich sytuacji miało miejsce przy realizacji usługi w przedziale czasowymi od 01.10.2019 do 31.10.2020 wykazując ilości dodatkowych posiłków z podziałem na poszczególne miesiące.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23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We wskazanym w pytaniu okresie nie wystąpiły powyższe sytuacje.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24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potwierdzenie czy Wykonawca dobrze rozumie że urządzenia o których mowa w załączniku do ogłoszenia rozdział X pkt 24 to GN i termosy.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24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Tak.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25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Odnosząc się bezpośrednio do zapisu:”… w przypadku Mieszkańców zakaźnych oraz zakażonych Wykonawca dostarczy naczynia i sztućce jednorazowe” prosimy o informację w </w:t>
      </w:r>
      <w:r>
        <w:rPr>
          <w:rFonts w:eastAsia="Calibri" w:cs="Calibri"/>
          <w:color w:val="000000"/>
          <w:lang w:eastAsia="pl-PL"/>
        </w:rPr>
        <w:lastRenderedPageBreak/>
        <w:t>jakich ilościach aktualny Wykonawca na prośbę Zamawiającego dostarcza jednorazowe naczynia i sztućce z podziałem na poszczególne miesiące od 10/2019 do 10/2020.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25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Wykonawca we wskazanym okresie nie dostarczał jednorazowych naczyń i sztućców.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nawiązaniu do załącznika do ogłoszenia rozdział X pkt 31 prosimy o wskazanie jakie ilości wymienionych produktów były dostarczane do Zamawiającego w przedziale 10/2019 do 10/2020.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26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Wszystkie wymienione produkty są zamawiane na bieżąco, wg. aktualnych </w:t>
      </w:r>
      <w:proofErr w:type="spellStart"/>
      <w:r>
        <w:rPr>
          <w:rFonts w:eastAsia="Times New Roman" w:cs="Times New Roman"/>
          <w:color w:val="000000"/>
          <w:lang w:eastAsia="pl-PL"/>
        </w:rPr>
        <w:t>zapotrzebowań</w:t>
      </w:r>
      <w:proofErr w:type="spellEnd"/>
      <w:r>
        <w:rPr>
          <w:rFonts w:eastAsia="Times New Roman" w:cs="Times New Roman"/>
          <w:color w:val="000000"/>
          <w:lang w:eastAsia="pl-PL"/>
        </w:rPr>
        <w:t xml:space="preserve">. </w:t>
      </w: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27</w:t>
      </w:r>
    </w:p>
    <w:p w:rsidR="00FC4D36" w:rsidRDefault="00FC4D36" w:rsidP="00FC4D36">
      <w:pPr>
        <w:tabs>
          <w:tab w:val="left" w:pos="1428"/>
          <w:tab w:val="center" w:pos="5256"/>
          <w:tab w:val="right" w:pos="9792"/>
        </w:tabs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potwierdzenie że Wykonawca tylko dostarcza gotowe produkty wymienione w załączniku do ogłoszenia rozdział X pkt 31, a to Zamawiający przygotowuje z nich gotowe do spożycia napoje.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27</w:t>
      </w:r>
    </w:p>
    <w:p w:rsidR="00FC4D36" w:rsidRDefault="00FC4D36" w:rsidP="00FC4D36">
      <w:pPr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Wykonawca dostarcza gotowe kakao, natomiast kawa i herbata przygotowywana jest bezpośrednio u Zamawiającego.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28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jaki rodzaj kawy Zamawiający ma na myśli.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28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Kawa mielona i kawa zbożowa.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29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ile aktualny Wykonawca zapewnia pojemników na odpady pokonsumpcyjne.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29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Aktualny Wykonawca zapewnia 2 pojemniki na odpady pokonsumpcyjne o pojemności 240 l.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jakie były ilości odpadów pokonsumpcyjnych w przedziale czasu od  10/2019 do 10/2020.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nie dysponuje taką wiedzą. Pojemniki są opróżniane regularnie, ich opróżnianie leży w gestii Wykonawcy.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31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informację z jaką częstotliwością w miesiącu aktualnie są odbierane odpady pokonsumpcyjne.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31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Pojemniki opróżniane są 1 raz w tygodniu, czyli średnio 4 razy w miesiącu.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32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potwierdzenie że to do Zamawiającego należy zabezpieczenie i wyznaczenie zarówno drogi dojazdu jak i miejsca składowania odpadów pokonsumpcyjnych w siedzibie Zamawiającego.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32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Tak.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33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potwierdzenie czy Zamawiający zobowiązując Wykonawcę do odbioru pojemników z odpadami pokonsumpcyjnymi miał na myśli zobowiązanie firmy zewnętrznej z Wykonawcą w imieniu którego będą te odpady odbierane.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33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color w:val="000000"/>
          <w:lang w:eastAsia="pl-PL"/>
        </w:rPr>
        <w:t>Zgodnie z Rozdziałem X pkt 30 i 32 Wykonawca ma obowiązek z</w:t>
      </w:r>
      <w:r>
        <w:rPr>
          <w:rFonts w:eastAsia="Times New Roman" w:cs="Times New Roman"/>
          <w:color w:val="000000"/>
        </w:rPr>
        <w:t>agospodarowanie odpadów pokonsumpcyjnych oraz zobowiązany jest zapewnić pojemniki z pokrywą na odpady pokonsumpcyjne do wyznaczonego miejsca w siedzibie Zamawiającego i do ich odbioru.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34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o wskazanie kaloryczności dla diety cukrzycowej.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34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Kaloryczność diety cukrzycowej to ok. 2 200 – 2 500 kcal.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35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Zgodnie z informacją od Zamawiającego zasady prawidłowego żywienia i przygotowania posiłków maja być zgodne z aktualnymi wytycznymi IŻŻ, prosimy o wskazanie czego mogą dotyczyć sugestie pracownika DPS, zobowiązujące Wykonawcę do wprowadzenia zmiany w jadłospisie.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35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Sugestie pracownika DPS mogą dotyczyć np. konkretnych posiłków, które są bardziej lub mniej lubiane przez Mieszkańców Domu.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W odniesieniu do zapisów zawartych w umowie §1 pkt 10 prosimy o wymienienie wszystkich dni „specjalnych” poza „tłustym czwartkiem”, „walentynkami”, „mikołajkami” w jakie Wykonawca ma zapewnić słodki poczęstunek do obiadu oraz o informacje czy słodki poczęstunek ma obowiązywać we wszystkich dietach.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36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Słodki poczęstunek dotyczyć ma wszystkich diet. Inne „dni specjalne” to m.in. święta Wielkanocne, Święta Bożego Narodzenia, Dzień Kobiet, Dzień Mężczyzny czy Sylwester.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Standard"/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37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Czy Wykonawca dobrze rozumie, że w dni wskazane w umowie §1 pkt 10 słodki poczęstunek zastępuje podwieczorek.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lastRenderedPageBreak/>
        <w:t>Odpowiedź nr 37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Nie, słodki poczęstunek to osobna pozycja, która nie zastępuje podwieczorku.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38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Prosimy  o wyrażenie zgody na dodanie zapisu w umowie §12 pkt 3) po 3 krotnym zgłoszonym pisemnie stwierdzeniu nienależytego wykonania umowy nakłada się karę w wysokości 200 zł brutto za każdy zaistniały przypadek.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38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Calibri" w:cs="Calibri"/>
          <w:color w:val="000000"/>
          <w:lang w:eastAsia="pl-PL"/>
        </w:rPr>
        <w:t>Zamawiający informuje, że z</w:t>
      </w:r>
      <w:r>
        <w:rPr>
          <w:rFonts w:eastAsia="Times New Roman" w:cs="Times New Roman"/>
          <w:color w:val="000000"/>
          <w:lang w:eastAsia="pl-PL"/>
        </w:rPr>
        <w:t>apisy umowy w powyższym zakresie pozostają bez zmian.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Calibri" w:cs="Calibri"/>
          <w:b/>
          <w:bCs/>
          <w:u w:val="single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39</w:t>
      </w:r>
    </w:p>
    <w:p w:rsidR="00FC4D36" w:rsidRDefault="00FC4D36" w:rsidP="00FC4D36">
      <w:pPr>
        <w:pStyle w:val="Akapitzlist"/>
        <w:ind w:left="0"/>
        <w:jc w:val="both"/>
      </w:pPr>
      <w:r>
        <w:t xml:space="preserve">W  </w:t>
      </w:r>
      <w:r>
        <w:rPr>
          <w:rFonts w:eastAsia="Calibri" w:cs="Calibri"/>
        </w:rPr>
        <w:t>§</w:t>
      </w:r>
      <w:r>
        <w:t>2 – wzór umowy , Zamawiający podaje iż kaloryczność diet osobodnia to 2500 kcal , prosimy o odpowiedź :Czy każda z realizowanych diet (w SIWZ, zamawiający podaje 4 rodzaje diet) ma posiadać kaloryczność na poziomie 2500 kcal ?</w:t>
      </w:r>
      <w:r>
        <w:rPr>
          <w:rFonts w:eastAsia="Times New Roman" w:cs="Times New Roman"/>
          <w:color w:val="000000"/>
          <w:lang w:eastAsia="pl-PL"/>
        </w:rPr>
        <w:t>Czy podana wartość 2500 kcal, dotyczy średniej dla wszystkich diet realizowanych w danym dniu?</w:t>
      </w:r>
    </w:p>
    <w:p w:rsidR="00FC4D36" w:rsidRDefault="00FC4D36" w:rsidP="00FC4D36">
      <w:pPr>
        <w:pStyle w:val="Akapitzlist"/>
        <w:ind w:left="0"/>
        <w:jc w:val="both"/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39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</w:pPr>
      <w:r>
        <w:t>Wartość kaloryczna jadłospisów wszystkich diet (również diety cukrzycowej) wynosi około 2 200 – 2 500 kcal (średnioważona tygodniowa) (plus dodatki dostępne między posiłkami które nie są wliczane w kaloryczność jadłospisów).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Pytanie nr 40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Prosimy o informację w jakim zakresie Zamawiający zastrzega sobie prawo do modyfikacji diet, prosimy o podanie przykładu?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u w:val="single"/>
          <w:lang w:eastAsia="pl-PL"/>
        </w:rPr>
        <w:t>Odpowiedź nr 40</w:t>
      </w:r>
    </w:p>
    <w:p w:rsidR="00FC4D36" w:rsidRDefault="00FC4D36" w:rsidP="00FC4D36">
      <w:pPr>
        <w:pStyle w:val="Akapitzlist"/>
        <w:tabs>
          <w:tab w:val="left" w:pos="708"/>
          <w:tab w:val="center" w:pos="4536"/>
          <w:tab w:val="right" w:pos="9072"/>
        </w:tabs>
        <w:ind w:left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zastrzega sobie prawo modyfikacji diet w zakresie konkretnych posiłków, które są bardziej lub mniej lubiane przez Mieszkańców Domu a także w zakresie ilości Mieszkańców na poszczególnych dietach oraz możliwości włączenia innych diet w trakcie trwania umowy, np. diety wegetariańskiej.</w:t>
      </w: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FC4D36" w:rsidRDefault="00FC4D36" w:rsidP="00FC4D36">
      <w:pPr>
        <w:pStyle w:val="Akapitzlist"/>
        <w:tabs>
          <w:tab w:val="left" w:pos="1428"/>
          <w:tab w:val="center" w:pos="5256"/>
          <w:tab w:val="right" w:pos="9792"/>
        </w:tabs>
        <w:jc w:val="both"/>
        <w:rPr>
          <w:rFonts w:eastAsia="Times New Roman" w:cs="Times New Roman"/>
          <w:color w:val="000000"/>
          <w:lang w:eastAsia="pl-PL"/>
        </w:rPr>
      </w:pPr>
    </w:p>
    <w:p w:rsidR="00841BA2" w:rsidRDefault="00841BA2">
      <w:bookmarkStart w:id="1" w:name="_GoBack"/>
      <w:bookmarkEnd w:id="1"/>
    </w:p>
    <w:sectPr w:rsidR="00841B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53" w:rsidRDefault="00A02953" w:rsidP="00762BC7">
      <w:r>
        <w:separator/>
      </w:r>
    </w:p>
  </w:endnote>
  <w:endnote w:type="continuationSeparator" w:id="0">
    <w:p w:rsidR="00A02953" w:rsidRDefault="00A02953" w:rsidP="007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Arial Unicode M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96915"/>
      <w:docPartObj>
        <w:docPartGallery w:val="Page Numbers (Bottom of Page)"/>
        <w:docPartUnique/>
      </w:docPartObj>
    </w:sdtPr>
    <w:sdtContent>
      <w:p w:rsidR="00762BC7" w:rsidRDefault="00762B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62BC7" w:rsidRDefault="00762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53" w:rsidRDefault="00A02953" w:rsidP="00762BC7">
      <w:r>
        <w:separator/>
      </w:r>
    </w:p>
  </w:footnote>
  <w:footnote w:type="continuationSeparator" w:id="0">
    <w:p w:rsidR="00A02953" w:rsidRDefault="00A02953" w:rsidP="0076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121"/>
    <w:multiLevelType w:val="multilevel"/>
    <w:tmpl w:val="4C9683A8"/>
    <w:lvl w:ilvl="0">
      <w:start w:val="1"/>
      <w:numFmt w:val="lowerLetter"/>
      <w:lvlText w:val="%1)"/>
      <w:lvlJc w:val="left"/>
      <w:pPr>
        <w:ind w:left="780" w:hanging="4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5DCB"/>
    <w:multiLevelType w:val="multilevel"/>
    <w:tmpl w:val="F68AAD10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35551B"/>
    <w:multiLevelType w:val="multilevel"/>
    <w:tmpl w:val="8EFE4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75DEA"/>
    <w:multiLevelType w:val="multilevel"/>
    <w:tmpl w:val="6DACE0D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65F78"/>
    <w:multiLevelType w:val="multilevel"/>
    <w:tmpl w:val="8D18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6"/>
    <w:rsid w:val="00762BC7"/>
    <w:rsid w:val="00841BA2"/>
    <w:rsid w:val="00A02953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semiHidden/>
    <w:unhideWhenUsed/>
    <w:qFormat/>
    <w:rsid w:val="00FC4D36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C4D36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FC4D36"/>
    <w:pPr>
      <w:spacing w:after="120"/>
    </w:pPr>
  </w:style>
  <w:style w:type="paragraph" w:customStyle="1" w:styleId="Standard">
    <w:name w:val="Standard"/>
    <w:rsid w:val="00FC4D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unhideWhenUsed/>
    <w:rsid w:val="00FC4D36"/>
    <w:pPr>
      <w:suppressLineNumbers/>
      <w:tabs>
        <w:tab w:val="center" w:pos="4536"/>
        <w:tab w:val="right" w:pos="9072"/>
      </w:tabs>
    </w:pPr>
    <w:rPr>
      <w:rFonts w:ascii="Arial" w:eastAsia="Calibri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4D36"/>
    <w:rPr>
      <w:rFonts w:ascii="Arial" w:eastAsia="Calibri" w:hAnsi="Arial" w:cs="Arial"/>
      <w:kern w:val="3"/>
      <w:sz w:val="20"/>
      <w:szCs w:val="20"/>
      <w:lang w:eastAsia="zh-CN" w:bidi="hi-IN"/>
    </w:rPr>
  </w:style>
  <w:style w:type="character" w:customStyle="1" w:styleId="StrongEmphasis">
    <w:name w:val="Strong Emphasis"/>
    <w:rsid w:val="00FC4D36"/>
    <w:rPr>
      <w:b/>
      <w:bCs/>
    </w:rPr>
  </w:style>
  <w:style w:type="paragraph" w:styleId="Akapitzlist">
    <w:name w:val="List Paragraph"/>
    <w:basedOn w:val="Standard"/>
    <w:qFormat/>
    <w:rsid w:val="00FC4D36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FC4D3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2B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2BC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semiHidden/>
    <w:unhideWhenUsed/>
    <w:qFormat/>
    <w:rsid w:val="00FC4D36"/>
    <w:pPr>
      <w:keepNext/>
      <w:spacing w:before="240" w:after="12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C4D36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FC4D36"/>
    <w:pPr>
      <w:spacing w:after="120"/>
    </w:pPr>
  </w:style>
  <w:style w:type="paragraph" w:customStyle="1" w:styleId="Standard">
    <w:name w:val="Standard"/>
    <w:rsid w:val="00FC4D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unhideWhenUsed/>
    <w:rsid w:val="00FC4D36"/>
    <w:pPr>
      <w:suppressLineNumbers/>
      <w:tabs>
        <w:tab w:val="center" w:pos="4536"/>
        <w:tab w:val="right" w:pos="9072"/>
      </w:tabs>
    </w:pPr>
    <w:rPr>
      <w:rFonts w:ascii="Arial" w:eastAsia="Calibri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4D36"/>
    <w:rPr>
      <w:rFonts w:ascii="Arial" w:eastAsia="Calibri" w:hAnsi="Arial" w:cs="Arial"/>
      <w:kern w:val="3"/>
      <w:sz w:val="20"/>
      <w:szCs w:val="20"/>
      <w:lang w:eastAsia="zh-CN" w:bidi="hi-IN"/>
    </w:rPr>
  </w:style>
  <w:style w:type="character" w:customStyle="1" w:styleId="StrongEmphasis">
    <w:name w:val="Strong Emphasis"/>
    <w:rsid w:val="00FC4D36"/>
    <w:rPr>
      <w:b/>
      <w:bCs/>
    </w:rPr>
  </w:style>
  <w:style w:type="paragraph" w:styleId="Akapitzlist">
    <w:name w:val="List Paragraph"/>
    <w:basedOn w:val="Standard"/>
    <w:qFormat/>
    <w:rsid w:val="00FC4D36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FC4D3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2B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2BC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-praca-technologia/e-fakturowanie-w-zamowieniach-publ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3120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Łukaszewska</dc:creator>
  <cp:lastModifiedBy>Magdalena Łukaszewska</cp:lastModifiedBy>
  <cp:revision>2</cp:revision>
  <dcterms:created xsi:type="dcterms:W3CDTF">2020-11-13T12:23:00Z</dcterms:created>
  <dcterms:modified xsi:type="dcterms:W3CDTF">2020-11-13T12:25:00Z</dcterms:modified>
</cp:coreProperties>
</file>